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70DA2A25" w:rsidR="00C1331B" w:rsidRPr="0046123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461230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7D0C99" w:rsidRPr="00461230">
        <w:rPr>
          <w:b/>
          <w:sz w:val="22"/>
          <w:szCs w:val="22"/>
          <w:lang w:val="sr-Cyrl-RS"/>
        </w:rPr>
        <w:t xml:space="preserve"> ИЗДАВАЊ</w:t>
      </w:r>
      <w:r w:rsidR="002D714B" w:rsidRPr="00461230">
        <w:rPr>
          <w:b/>
          <w:sz w:val="22"/>
          <w:szCs w:val="22"/>
          <w:lang w:val="sr-Cyrl-RS"/>
        </w:rPr>
        <w:t>А</w:t>
      </w:r>
      <w:r w:rsidR="00454A64" w:rsidRPr="00461230">
        <w:rPr>
          <w:b/>
          <w:sz w:val="22"/>
          <w:szCs w:val="22"/>
          <w:lang w:val="sr-Cyrl-RS"/>
        </w:rPr>
        <w:t xml:space="preserve"> ПОТВРДЕ О ГАРАНЦИЈИ ПОРЕКЛА МИНЕРАЛНЕ СИРОВИНЕ ЗА ДОБИЈАЊЕ ГРАЂЕВИНСКИХ МАТЕРИЈАЛА И НЕМЕТАЛИЧНИХ МИНЕРАЛНИХ РЕСУРС</w:t>
      </w:r>
      <w:r w:rsidR="00E37C76" w:rsidRPr="00461230">
        <w:rPr>
          <w:b/>
          <w:sz w:val="22"/>
          <w:szCs w:val="22"/>
        </w:rPr>
        <w:t>A</w:t>
      </w:r>
      <w:r w:rsidR="00454A64" w:rsidRPr="00461230">
        <w:rPr>
          <w:b/>
          <w:sz w:val="22"/>
          <w:szCs w:val="22"/>
          <w:lang w:val="sr-Cyrl-RS"/>
        </w:rPr>
        <w:t xml:space="preserve"> ЗА ДОБИЈАЊЕ ПРИРОДНИХ ГРАЂЕВИНСКИХ МАТЕРИЈАЛА</w:t>
      </w:r>
    </w:p>
    <w:p w14:paraId="6E77BA59" w14:textId="77777777" w:rsidR="00C1331B" w:rsidRPr="0046123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461230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461230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6123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C8FC1A7" w:rsidR="000E2036" w:rsidRPr="00461230" w:rsidRDefault="001E3099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461230">
              <w:rPr>
                <w:sz w:val="22"/>
                <w:szCs w:val="22"/>
                <w:lang w:val="sr-Cyrl-RS"/>
              </w:rPr>
              <w:t xml:space="preserve">Потврда о гаранцији порекла минералне сировине за добијање грађевинских материјала и </w:t>
            </w:r>
            <w:proofErr w:type="spellStart"/>
            <w:r w:rsidRPr="00461230">
              <w:rPr>
                <w:sz w:val="22"/>
                <w:szCs w:val="22"/>
                <w:lang w:val="sr-Cyrl-RS"/>
              </w:rPr>
              <w:t>неметаличних</w:t>
            </w:r>
            <w:proofErr w:type="spellEnd"/>
            <w:r w:rsidRPr="00461230">
              <w:rPr>
                <w:sz w:val="22"/>
                <w:szCs w:val="22"/>
                <w:lang w:val="sr-Cyrl-RS"/>
              </w:rPr>
              <w:t xml:space="preserve"> минералних ресурс</w:t>
            </w:r>
            <w:r w:rsidR="00E37C76" w:rsidRPr="00461230">
              <w:rPr>
                <w:sz w:val="22"/>
                <w:szCs w:val="22"/>
              </w:rPr>
              <w:t>a</w:t>
            </w:r>
            <w:r w:rsidRPr="00461230">
              <w:rPr>
                <w:sz w:val="22"/>
                <w:szCs w:val="22"/>
                <w:lang w:val="sr-Cyrl-RS"/>
              </w:rPr>
              <w:t xml:space="preserve"> за добијање природних грађевинских материјала</w:t>
            </w:r>
          </w:p>
        </w:tc>
      </w:tr>
      <w:tr w:rsidR="00850AD5" w:rsidRPr="00461230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461230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4E2A594" w:rsidR="000E2036" w:rsidRPr="00461230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461230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461230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5C01B7"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</w:p>
        </w:tc>
      </w:tr>
      <w:tr w:rsidR="00850AD5" w:rsidRPr="00461230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4612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4612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461230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461230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461230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61230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461230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4612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461230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461230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461230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461230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461230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4612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4612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4612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4612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4612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ECD537C" w:rsidR="00D73918" w:rsidRPr="00461230" w:rsidRDefault="00155463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850AD5" w:rsidRPr="00461230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4612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461230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3DF32DC" w:rsidR="00804060" w:rsidRPr="00461230" w:rsidRDefault="00D26466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bookmarkStart w:id="0" w:name="_GoBack"/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r w:rsidR="00B44AB9" w:rsidRPr="00461230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bookmarkEnd w:id="0"/>
            <w:r w:rsidR="005C01B7" w:rsidRPr="00461230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461230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461230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461230" w14:paraId="4635A4BE" w14:textId="77777777" w:rsidTr="00CA1CE9">
        <w:tc>
          <w:tcPr>
            <w:tcW w:w="9060" w:type="dxa"/>
            <w:gridSpan w:val="2"/>
          </w:tcPr>
          <w:p w14:paraId="63D4C397" w14:textId="2B48F041" w:rsidR="00454A64" w:rsidRPr="00461230" w:rsidRDefault="00454A64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Прописима су јасно дефинисани услови за издавање</w:t>
            </w:r>
            <w:r w:rsidR="00253717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потврде о гаранцији порекла минералне сировине за добијање грађевинских материјала и </w:t>
            </w:r>
            <w:proofErr w:type="spellStart"/>
            <w:r w:rsidR="00253717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неметаличних</w:t>
            </w:r>
            <w:proofErr w:type="spellEnd"/>
            <w:r w:rsidR="00253717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минералних ресурс</w:t>
            </w:r>
            <w:r w:rsidR="00113B54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а</w:t>
            </w:r>
            <w:r w:rsidR="00253717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добијање природних грађевинских материјала, али није прецизно дефинисано у ком облику се достављају подаци потребни за издавање потврде. Стога, у пракси долази до ситуације да </w:t>
            </w:r>
            <w:r w:rsidR="00475AF2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подносилац захтева </w:t>
            </w:r>
            <w:r w:rsidR="009C7BFB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доставља документацију</w:t>
            </w:r>
            <w:r w:rsidR="00FB2EC8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из које се прибављају подаци који се могу</w:t>
            </w:r>
            <w:r w:rsidR="00113B54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прибавити по службеној дужности</w:t>
            </w:r>
            <w:r w:rsidR="00475AF2"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услед чега долази до непотребног административног оптерећења подносиоца захтева. Додатно </w:t>
            </w:r>
            <w:r w:rsidR="00475AF2"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није омогућено подношење захтева и издавање акта надлежног органа електронским путем.</w:t>
            </w:r>
          </w:p>
          <w:p w14:paraId="4BCB02C2" w14:textId="7D59346B" w:rsidR="0009542A" w:rsidRPr="00461230" w:rsidRDefault="0009542A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461230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461230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461230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0F35FCA" w:rsidR="00CA1CE9" w:rsidRPr="00461230" w:rsidRDefault="005C01B7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FB2EC8" w:rsidRPr="00461230">
              <w:rPr>
                <w:rFonts w:eastAsia="Calibri"/>
                <w:sz w:val="22"/>
                <w:szCs w:val="22"/>
                <w:lang w:val="sr-Cyrl-RS"/>
              </w:rPr>
              <w:t>изменити</w:t>
            </w:r>
            <w:r w:rsidR="00A51BC8" w:rsidRPr="00461230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="00A51BC8" w:rsidRPr="00461230">
              <w:rPr>
                <w:rFonts w:eastAsia="Calibri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A51BC8" w:rsidRPr="00461230">
              <w:rPr>
                <w:sz w:val="22"/>
                <w:szCs w:val="22"/>
                <w:lang w:val="sr-Cyrl-RS"/>
              </w:rPr>
              <w:t xml:space="preserve">(„Службени гласник РС“, бр. 101/15, 95/18) </w:t>
            </w:r>
            <w:r w:rsidR="00FB2EC8" w:rsidRPr="00461230">
              <w:rPr>
                <w:sz w:val="22"/>
                <w:szCs w:val="22"/>
                <w:lang w:val="sr-Cyrl-RS"/>
              </w:rPr>
              <w:t xml:space="preserve">тако да се дефинише </w:t>
            </w:r>
            <w:r w:rsidR="00A51BC8" w:rsidRPr="00461230">
              <w:rPr>
                <w:sz w:val="22"/>
                <w:szCs w:val="22"/>
                <w:lang w:val="sr-Cyrl-RS"/>
              </w:rPr>
              <w:t xml:space="preserve">да се уз захтев за издавање гаранције порекла </w:t>
            </w:r>
            <w:r w:rsidR="00FB2EC8" w:rsidRPr="00461230">
              <w:rPr>
                <w:sz w:val="22"/>
                <w:szCs w:val="22"/>
                <w:lang w:val="sr-Cyrl-RS"/>
              </w:rPr>
              <w:t>не доставља документација, већ да сам захтев садржи податке потребне за прибављање података по службеној дужности.</w:t>
            </w:r>
          </w:p>
        </w:tc>
      </w:tr>
      <w:tr w:rsidR="00CA1CE9" w:rsidRPr="00461230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461230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461230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461230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461230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461230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461230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461230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909A4AF" w14:textId="6B9585CE" w:rsidR="007C7E4A" w:rsidRPr="00461230" w:rsidRDefault="007C7E4A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461230">
              <w:rPr>
                <w:b/>
                <w:bCs/>
                <w:sz w:val="22"/>
                <w:szCs w:val="22"/>
                <w:lang w:val="sr-Cyrl-RS" w:eastAsia="sr-Latn-ME"/>
              </w:rPr>
              <w:t>Прибављање података по службеној дужности</w:t>
            </w:r>
          </w:p>
          <w:p w14:paraId="71FF96B4" w14:textId="77777777" w:rsidR="007C7E4A" w:rsidRPr="00461230" w:rsidRDefault="007C7E4A" w:rsidP="007C7E4A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75455C04" w14:textId="7C486D5C" w:rsidR="007C7E4A" w:rsidRPr="00461230" w:rsidRDefault="007C7E4A" w:rsidP="007C7E4A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Предлаже се елиминација подношења следећ</w:t>
            </w:r>
            <w:r w:rsidR="00FB2EC8"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ег</w:t>
            </w: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докумен</w:t>
            </w:r>
            <w:r w:rsidR="00FB2EC8"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та</w:t>
            </w: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гласник РС”, број 94/17.), </w:t>
            </w: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Законом о електронској управи („Службени гласник РС”, број 27/18) и Правилником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00E80390" w14:textId="77777777" w:rsidR="007C7E4A" w:rsidRPr="00461230" w:rsidRDefault="007C7E4A" w:rsidP="007C7E4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07AB79B1" w14:textId="77777777" w:rsidR="000170AF" w:rsidRPr="00461230" w:rsidRDefault="000170AF" w:rsidP="000170A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Документ 4: Потврда о резервама </w:t>
            </w:r>
            <w:proofErr w:type="spellStart"/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>неметаличних</w:t>
            </w:r>
            <w:proofErr w:type="spellEnd"/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 минералних сировина за добијање грађевинских материјала и </w:t>
            </w:r>
            <w:proofErr w:type="spellStart"/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>неметаличних</w:t>
            </w:r>
            <w:proofErr w:type="spellEnd"/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 минералних ресурса за добијање природних грађевинских материјала</w:t>
            </w:r>
          </w:p>
          <w:p w14:paraId="2FF0B88C" w14:textId="1A577127" w:rsidR="000170AF" w:rsidRPr="00461230" w:rsidRDefault="000170AF" w:rsidP="000170AF">
            <w:pPr>
              <w:pStyle w:val="ListParagraph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461230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Покрајински секретаријат за енергетику, грађевинарство и саобраћај</w:t>
            </w:r>
          </w:p>
          <w:p w14:paraId="3097F14D" w14:textId="2ECEAF72" w:rsidR="000170AF" w:rsidRPr="00461230" w:rsidRDefault="000170AF" w:rsidP="000170AF">
            <w:pPr>
              <w:pStyle w:val="ListParagraph"/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</w:pPr>
          </w:p>
          <w:p w14:paraId="4A2D87A6" w14:textId="2BB74F27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Наведени документ се прибавља ради утврђивања пословног имена</w:t>
            </w:r>
            <w:r w:rsidR="009C7BFB"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, седишта, </w:t>
            </w: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 матичног броја и ПИБ</w:t>
            </w:r>
            <w:r w:rsidR="009C7BFB"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-а</w:t>
            </w: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 носиоца експлоатационе дозволе; назива и локација експлоатационог поља; података о врсти и могућности употребе минералне сировине или ресурса утврђених потврдом о ресурсима и резервама односно, извештај о минералним ресурсима.</w:t>
            </w:r>
          </w:p>
          <w:p w14:paraId="50ACAEFA" w14:textId="0BC17BA6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</w:p>
          <w:p w14:paraId="18B14614" w14:textId="326462FC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Имајући у виду да је орган који издаје Гаранцију порекла истовремено </w:t>
            </w:r>
            <w:r w:rsidR="00FB2EC8"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и </w:t>
            </w: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орган који издаје горе</w:t>
            </w:r>
            <w:r w:rsidR="009C7BFB"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 </w:t>
            </w: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наведену потврду, сви тражени подаци се могу прибавити вршењем увида у интерне евиденције.</w:t>
            </w:r>
          </w:p>
          <w:p w14:paraId="4E0FF9A1" w14:textId="55E867C2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</w:p>
          <w:p w14:paraId="4FE16840" w14:textId="278445D1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Како би се ово омогућило, потребно је од подносиоца захтева затражити следеће неопходне информације: пословно име, седиште и матичн</w:t>
            </w:r>
            <w:r w:rsidR="009C7BFB"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и</w:t>
            </w:r>
            <w:r w:rsidRPr="0046123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 број и ПИБ носиоца истраживања или носиоца експлоатације.</w:t>
            </w:r>
          </w:p>
          <w:p w14:paraId="5548DECE" w14:textId="679857EE" w:rsidR="000170AF" w:rsidRPr="00461230" w:rsidRDefault="000170AF" w:rsidP="000170AF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</w:p>
          <w:p w14:paraId="5A723028" w14:textId="58FA0724" w:rsidR="000170AF" w:rsidRPr="00461230" w:rsidRDefault="00FB2EC8" w:rsidP="000170AF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</w:pPr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За примену ове препоруке </w:t>
            </w:r>
            <w:r w:rsidR="00155463"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није </w:t>
            </w:r>
            <w:r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>потребно је измен</w:t>
            </w:r>
            <w:r w:rsidR="00155463" w:rsidRPr="00461230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>а прописа.</w:t>
            </w:r>
          </w:p>
          <w:p w14:paraId="7D225B0E" w14:textId="77777777" w:rsidR="00E42526" w:rsidRPr="00461230" w:rsidRDefault="00E42526" w:rsidP="00E42526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173B7320" w14:textId="23925609" w:rsidR="00E42526" w:rsidRPr="00461230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461230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461230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461230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461230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461230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461230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4612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461230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461230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461230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461230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7D3D6A5A" w:rsidR="00CA1CE9" w:rsidRPr="00461230" w:rsidRDefault="0093250F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461230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461230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461230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0EF64FB" w:rsidR="00CA1CE9" w:rsidRPr="00461230" w:rsidRDefault="0093250F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12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461230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461230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1230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461230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D3D81EC" w14:textId="62492425" w:rsidR="00461230" w:rsidRPr="00461230" w:rsidRDefault="00461230" w:rsidP="004612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4612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Усвајање и примена препорука ће донети уштеде у износу од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18.87</w:t>
            </w:r>
            <w:r w:rsidRPr="004612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% укупних директних трошкова привредних субјеката у поступку.</w:t>
            </w:r>
          </w:p>
          <w:p w14:paraId="7BADFDF1" w14:textId="77777777" w:rsidR="00461230" w:rsidRPr="00461230" w:rsidRDefault="00461230" w:rsidP="004612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184F5050" w:rsidR="00CA1CE9" w:rsidRPr="00461230" w:rsidRDefault="00461230" w:rsidP="0046123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12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lastRenderedPageBreak/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461230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4612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461230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461230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1168" w14:textId="77777777" w:rsidR="00574026" w:rsidRDefault="00574026" w:rsidP="002A202F">
      <w:r>
        <w:separator/>
      </w:r>
    </w:p>
  </w:endnote>
  <w:endnote w:type="continuationSeparator" w:id="0">
    <w:p w14:paraId="5DF023FC" w14:textId="77777777" w:rsidR="00574026" w:rsidRDefault="0057402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4C0E0" w14:textId="77777777" w:rsidR="00574026" w:rsidRDefault="00574026" w:rsidP="002A202F">
      <w:r>
        <w:separator/>
      </w:r>
    </w:p>
  </w:footnote>
  <w:footnote w:type="continuationSeparator" w:id="0">
    <w:p w14:paraId="7E3FBE1D" w14:textId="77777777" w:rsidR="00574026" w:rsidRDefault="0057402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B54"/>
    <w:rsid w:val="00113C5C"/>
    <w:rsid w:val="001156BA"/>
    <w:rsid w:val="00144439"/>
    <w:rsid w:val="0015182D"/>
    <w:rsid w:val="0015315E"/>
    <w:rsid w:val="00155463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225C6"/>
    <w:rsid w:val="002323AC"/>
    <w:rsid w:val="00236737"/>
    <w:rsid w:val="00251CC3"/>
    <w:rsid w:val="00253717"/>
    <w:rsid w:val="00261404"/>
    <w:rsid w:val="002673B0"/>
    <w:rsid w:val="00275E2A"/>
    <w:rsid w:val="00291E3D"/>
    <w:rsid w:val="00296938"/>
    <w:rsid w:val="002A202F"/>
    <w:rsid w:val="002A6CC7"/>
    <w:rsid w:val="002B19B4"/>
    <w:rsid w:val="002B2BE2"/>
    <w:rsid w:val="002D714B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4A64"/>
    <w:rsid w:val="00457882"/>
    <w:rsid w:val="00461230"/>
    <w:rsid w:val="00463CC7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74026"/>
    <w:rsid w:val="00580B61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5238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3033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E050E"/>
    <w:rsid w:val="008F0867"/>
    <w:rsid w:val="008F172F"/>
    <w:rsid w:val="008F2044"/>
    <w:rsid w:val="008F2BE1"/>
    <w:rsid w:val="008F4DD1"/>
    <w:rsid w:val="009056DB"/>
    <w:rsid w:val="0093250F"/>
    <w:rsid w:val="00934907"/>
    <w:rsid w:val="00942D9C"/>
    <w:rsid w:val="00947592"/>
    <w:rsid w:val="00950280"/>
    <w:rsid w:val="00991A18"/>
    <w:rsid w:val="00994A16"/>
    <w:rsid w:val="009A30D3"/>
    <w:rsid w:val="009B6870"/>
    <w:rsid w:val="009C60C1"/>
    <w:rsid w:val="009C7BFB"/>
    <w:rsid w:val="009D03A7"/>
    <w:rsid w:val="009D75D5"/>
    <w:rsid w:val="009E0479"/>
    <w:rsid w:val="009E0D02"/>
    <w:rsid w:val="00A0102E"/>
    <w:rsid w:val="00A1145F"/>
    <w:rsid w:val="00A12960"/>
    <w:rsid w:val="00A1570D"/>
    <w:rsid w:val="00A22386"/>
    <w:rsid w:val="00A51BC8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44AB9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2C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26466"/>
    <w:rsid w:val="00D37EA5"/>
    <w:rsid w:val="00D73628"/>
    <w:rsid w:val="00D73918"/>
    <w:rsid w:val="00D9584F"/>
    <w:rsid w:val="00D967D7"/>
    <w:rsid w:val="00DA125D"/>
    <w:rsid w:val="00DB19B9"/>
    <w:rsid w:val="00DC4BC2"/>
    <w:rsid w:val="00DE057D"/>
    <w:rsid w:val="00DF4FF3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37C76"/>
    <w:rsid w:val="00E40DF0"/>
    <w:rsid w:val="00E42526"/>
    <w:rsid w:val="00E4267B"/>
    <w:rsid w:val="00E47DAC"/>
    <w:rsid w:val="00E63C8A"/>
    <w:rsid w:val="00E70BF6"/>
    <w:rsid w:val="00EA02F0"/>
    <w:rsid w:val="00EA2AFA"/>
    <w:rsid w:val="00EA4ED1"/>
    <w:rsid w:val="00ED12C4"/>
    <w:rsid w:val="00ED1BCC"/>
    <w:rsid w:val="00ED61F3"/>
    <w:rsid w:val="00EF7DC1"/>
    <w:rsid w:val="00F056CE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F00EE2C-5BE7-4B7A-81AE-A7F32BC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DAE2-A923-4003-B7B8-9FC44976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2019-12-11T14:46:00Z</dcterms:created>
  <dcterms:modified xsi:type="dcterms:W3CDTF">2020-02-06T13:48:00Z</dcterms:modified>
</cp:coreProperties>
</file>